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AE8" w:rsidRPr="00E76AE8" w:rsidRDefault="00E76AE8" w:rsidP="00E76AE8">
      <w:pPr>
        <w:spacing w:after="0" w:line="253" w:lineRule="atLeast"/>
        <w:jc w:val="both"/>
        <w:rPr>
          <w:rFonts w:ascii="Calibri" w:eastAsia="Times New Roman" w:hAnsi="Calibri" w:cs="Times New Roman"/>
          <w:lang w:eastAsia="sr-Cyrl-RS"/>
        </w:rPr>
      </w:pPr>
    </w:p>
    <w:p w:rsidR="00E76AE8" w:rsidRPr="00E76AE8" w:rsidRDefault="00E76AE8" w:rsidP="00E76AE8">
      <w:pPr>
        <w:spacing w:after="0" w:line="253" w:lineRule="atLeast"/>
        <w:jc w:val="both"/>
        <w:rPr>
          <w:rFonts w:ascii="Calibri" w:eastAsia="Times New Roman" w:hAnsi="Calibri" w:cs="Times New Roman"/>
          <w:lang w:eastAsia="sr-Cyrl-RS"/>
        </w:rPr>
      </w:pPr>
      <w:r w:rsidRPr="00E76AE8">
        <w:rPr>
          <w:rFonts w:ascii="Times New Roman" w:eastAsia="Times New Roman" w:hAnsi="Times New Roman" w:cs="Times New Roman"/>
          <w:sz w:val="24"/>
          <w:szCs w:val="24"/>
          <w:lang w:eastAsia="sr-Cyrl-RS"/>
        </w:rPr>
        <w:t>Кадровски капацитет</w:t>
      </w:r>
    </w:p>
    <w:p w:rsidR="00E76AE8" w:rsidRPr="00E76AE8" w:rsidRDefault="00E76AE8" w:rsidP="00E76AE8">
      <w:pPr>
        <w:spacing w:after="0" w:line="253" w:lineRule="atLeast"/>
        <w:jc w:val="both"/>
        <w:rPr>
          <w:rFonts w:ascii="Calibri" w:eastAsia="Times New Roman" w:hAnsi="Calibri" w:cs="Times New Roman"/>
          <w:lang w:eastAsia="sr-Cyrl-RS"/>
        </w:rPr>
      </w:pPr>
      <w:r w:rsidRPr="00E76AE8">
        <w:rPr>
          <w:rFonts w:ascii="Times New Roman" w:eastAsia="Times New Roman" w:hAnsi="Times New Roman" w:cs="Times New Roman"/>
          <w:sz w:val="24"/>
          <w:szCs w:val="24"/>
          <w:lang w:eastAsia="sr-Cyrl-RS"/>
        </w:rPr>
        <w:t>У конкурсној документацији навели сте:</w:t>
      </w:r>
    </w:p>
    <w:p w:rsidR="00E76AE8" w:rsidRPr="00E76AE8" w:rsidRDefault="00E76AE8" w:rsidP="00E76AE8">
      <w:pPr>
        <w:spacing w:after="0" w:line="253" w:lineRule="atLeast"/>
        <w:jc w:val="both"/>
        <w:rPr>
          <w:rFonts w:ascii="Calibri" w:eastAsia="Times New Roman" w:hAnsi="Calibri" w:cs="Times New Roman"/>
          <w:lang w:eastAsia="sr-Cyrl-RS"/>
        </w:rPr>
      </w:pPr>
      <w:r w:rsidRPr="00E76AE8">
        <w:rPr>
          <w:rFonts w:ascii="Times New Roman" w:eastAsia="Times New Roman" w:hAnsi="Times New Roman" w:cs="Times New Roman"/>
          <w:sz w:val="24"/>
          <w:szCs w:val="24"/>
          <w:lang w:eastAsia="sr-Cyrl-RS"/>
        </w:rPr>
        <w:t>- 1 лице – одговорни извођач радова -дипломирани инжењер електротехнике са лиценцом бр. 450 и 451</w:t>
      </w:r>
    </w:p>
    <w:p w:rsidR="00E76AE8" w:rsidRPr="00E76AE8" w:rsidRDefault="00E76AE8" w:rsidP="00E76AE8">
      <w:pPr>
        <w:spacing w:after="0" w:line="253" w:lineRule="atLeast"/>
        <w:jc w:val="both"/>
        <w:rPr>
          <w:rFonts w:ascii="Calibri" w:eastAsia="Times New Roman" w:hAnsi="Calibri" w:cs="Times New Roman"/>
          <w:lang w:eastAsia="sr-Cyrl-RS"/>
        </w:rPr>
      </w:pPr>
      <w:r w:rsidRPr="00E76AE8">
        <w:rPr>
          <w:rFonts w:ascii="Times New Roman" w:eastAsia="Times New Roman" w:hAnsi="Times New Roman" w:cs="Times New Roman"/>
          <w:sz w:val="24"/>
          <w:szCs w:val="24"/>
          <w:lang w:eastAsia="sr-Cyrl-RS"/>
        </w:rPr>
        <w:t>- 1 лице -дипломирани инжењер електротехнике са лиценцом бр. 450 и 451</w:t>
      </w:r>
    </w:p>
    <w:p w:rsidR="00E76AE8" w:rsidRPr="00E76AE8" w:rsidRDefault="00E76AE8" w:rsidP="00E76AE8">
      <w:pPr>
        <w:spacing w:after="0" w:line="253" w:lineRule="atLeast"/>
        <w:jc w:val="both"/>
        <w:rPr>
          <w:rFonts w:ascii="Calibri" w:eastAsia="Times New Roman" w:hAnsi="Calibri" w:cs="Times New Roman"/>
          <w:lang w:eastAsia="sr-Cyrl-RS"/>
        </w:rPr>
      </w:pP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Питање</w:t>
      </w:r>
      <w:r>
        <w:rPr>
          <w:rFonts w:ascii="Times New Roman" w:eastAsia="Times New Roman" w:hAnsi="Times New Roman" w:cs="Times New Roman"/>
          <w:sz w:val="24"/>
          <w:szCs w:val="24"/>
          <w:lang w:eastAsia="sr-Cyrl-RS"/>
        </w:rPr>
        <w:t xml:space="preserve"> бр 29</w:t>
      </w:r>
      <w:r w:rsidRPr="00E76AE8">
        <w:rPr>
          <w:rFonts w:ascii="Times New Roman" w:eastAsia="Times New Roman" w:hAnsi="Times New Roman" w:cs="Times New Roman"/>
          <w:sz w:val="24"/>
          <w:szCs w:val="24"/>
          <w:lang w:eastAsia="sr-Cyrl-RS"/>
        </w:rPr>
        <w:t>:</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Сматрамо да је у питању техничка грешка и да уместо "и" треба да стоји "или". </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1. Да ла је у питању техничка грешка? </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2. Ако није у питању техничка грешка да ли онда Наручилац може објаснити потребу за кадровским капацитетом одговорни извођач радова - дипломирани инжењер електротехнике са лиценцом бр. 451?</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p>
    <w:p w:rsidR="00E76AE8" w:rsidRDefault="00E76AE8" w:rsidP="00E76AE8">
      <w:pPr>
        <w:spacing w:after="0" w:line="253" w:lineRule="atLeast"/>
        <w:jc w:val="both"/>
        <w:rPr>
          <w:rFonts w:ascii="Times New Roman" w:eastAsia="Times New Roman" w:hAnsi="Times New Roman" w:cs="Times New Roman"/>
          <w:sz w:val="24"/>
          <w:szCs w:val="24"/>
          <w:lang w:val="en-US" w:eastAsia="sr-Cyrl-RS"/>
        </w:rPr>
      </w:pPr>
      <w:r w:rsidRPr="00E76AE8">
        <w:rPr>
          <w:rFonts w:ascii="Times New Roman" w:eastAsia="Times New Roman" w:hAnsi="Times New Roman" w:cs="Times New Roman"/>
          <w:sz w:val="24"/>
          <w:szCs w:val="24"/>
          <w:lang w:eastAsia="sr-Cyrl-RS"/>
        </w:rPr>
        <w:t>Лиценца бр. 451 није у складу са предметом набавке односно она припада електро радовима на средњем и виском напону што није предмет ове набавке тј. радови и опрема припадају ниском напону.   </w:t>
      </w:r>
    </w:p>
    <w:p w:rsidR="00BC168C" w:rsidRPr="00BC168C" w:rsidRDefault="00BC168C" w:rsidP="00E76AE8">
      <w:pPr>
        <w:spacing w:after="0" w:line="253" w:lineRule="atLeast"/>
        <w:jc w:val="both"/>
        <w:rPr>
          <w:rFonts w:ascii="Times New Roman" w:eastAsia="Times New Roman" w:hAnsi="Times New Roman" w:cs="Times New Roman"/>
          <w:sz w:val="24"/>
          <w:szCs w:val="24"/>
          <w:lang w:val="en-US" w:eastAsia="sr-Cyrl-RS"/>
        </w:rPr>
      </w:pPr>
    </w:p>
    <w:p w:rsidR="00E76AE8" w:rsidRPr="00BC168C" w:rsidRDefault="00BC168C" w:rsidP="00E76AE8">
      <w:pPr>
        <w:spacing w:after="0" w:line="253" w:lineRule="atLeast"/>
        <w:jc w:val="both"/>
        <w:rPr>
          <w:rFonts w:ascii="Times New Roman" w:eastAsia="Times New Roman" w:hAnsi="Times New Roman" w:cs="Times New Roman"/>
          <w:sz w:val="24"/>
          <w:szCs w:val="24"/>
          <w:lang w:val="en-US" w:eastAsia="sr-Cyrl-RS"/>
        </w:rPr>
      </w:pPr>
      <w:r>
        <w:rPr>
          <w:rFonts w:ascii="Times New Roman" w:eastAsia="Times New Roman" w:hAnsi="Times New Roman" w:cs="Times New Roman"/>
          <w:sz w:val="24"/>
          <w:szCs w:val="24"/>
          <w:lang w:eastAsia="sr-Cyrl-RS"/>
        </w:rPr>
        <w:t>Одговор 29</w:t>
      </w:r>
    </w:p>
    <w:p w:rsidR="00E76AE8" w:rsidRDefault="00E76AE8" w:rsidP="00E76AE8">
      <w:pPr>
        <w:spacing w:after="0" w:line="253" w:lineRule="atLeast"/>
        <w:jc w:val="both"/>
        <w:rPr>
          <w:rFonts w:ascii="Times New Roman" w:eastAsia="Times New Roman" w:hAnsi="Times New Roman" w:cs="Times New Roman"/>
          <w:sz w:val="24"/>
          <w:szCs w:val="24"/>
          <w:lang w:eastAsia="sr-Cyrl-RS"/>
        </w:rPr>
      </w:pPr>
    </w:p>
    <w:p w:rsidR="00E76AE8" w:rsidRDefault="00E76AE8" w:rsidP="00E76AE8">
      <w:pPr>
        <w:jc w:val="both"/>
        <w:rPr>
          <w:rFonts w:ascii="Times New Roman" w:hAnsi="Times New Roman" w:cs="Times New Roman"/>
          <w:color w:val="000000" w:themeColor="text1"/>
          <w:sz w:val="24"/>
          <w:szCs w:val="24"/>
          <w:shd w:val="clear" w:color="auto" w:fill="FFFFFF"/>
          <w:lang w:val="sr-Latn-RS"/>
        </w:rPr>
      </w:pPr>
      <w:r>
        <w:rPr>
          <w:rFonts w:ascii="Times New Roman" w:hAnsi="Times New Roman" w:cs="Times New Roman"/>
          <w:color w:val="000000" w:themeColor="text1"/>
          <w:sz w:val="24"/>
          <w:szCs w:val="24"/>
          <w:shd w:val="clear" w:color="auto" w:fill="FFFFFF"/>
          <w:lang w:val="sr-Latn-RS"/>
        </w:rPr>
        <w:t>Traže se dva ing sa licencom 450 ili 451, ne mora jedno lice da poseduje obe licence. U pitanju je tehnička greška u kucanju i Naručilac će uvažiti kao dokaz bilo koju od ove dve licence.</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p>
    <w:p w:rsidR="00E76AE8" w:rsidRPr="00E76AE8" w:rsidRDefault="00E76AE8" w:rsidP="00E76AE8">
      <w:pPr>
        <w:spacing w:after="0" w:line="253" w:lineRule="atLeast"/>
        <w:jc w:val="both"/>
        <w:rPr>
          <w:rFonts w:ascii="Calibri" w:eastAsia="Times New Roman" w:hAnsi="Calibri" w:cs="Times New Roman"/>
          <w:lang w:eastAsia="sr-Cyrl-RS"/>
        </w:rPr>
      </w:pPr>
      <w:r w:rsidRPr="00E76AE8">
        <w:rPr>
          <w:rFonts w:ascii="Times New Roman" w:eastAsia="Times New Roman" w:hAnsi="Times New Roman" w:cs="Times New Roman"/>
          <w:sz w:val="24"/>
          <w:szCs w:val="24"/>
          <w:lang w:eastAsia="sr-Cyrl-RS"/>
        </w:rPr>
        <w:t>Пословни капацитет</w:t>
      </w:r>
    </w:p>
    <w:p w:rsidR="00E76AE8" w:rsidRPr="00E76AE8" w:rsidRDefault="00E76AE8" w:rsidP="00E76AE8">
      <w:pPr>
        <w:spacing w:after="0" w:line="253" w:lineRule="atLeast"/>
        <w:jc w:val="both"/>
        <w:rPr>
          <w:rFonts w:ascii="Calibri" w:eastAsia="Times New Roman" w:hAnsi="Calibri" w:cs="Times New Roman"/>
          <w:lang w:eastAsia="sr-Cyrl-RS"/>
        </w:rPr>
      </w:pPr>
      <w:r w:rsidRPr="00E76AE8">
        <w:rPr>
          <w:rFonts w:ascii="Times New Roman" w:eastAsia="Times New Roman" w:hAnsi="Times New Roman" w:cs="Times New Roman"/>
          <w:sz w:val="24"/>
          <w:szCs w:val="24"/>
          <w:lang w:eastAsia="sr-Cyrl-RS"/>
        </w:rPr>
        <w:t>У конкурсној документацији навели сте:</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Понуђач мора да испуни услов да је у последњих шест година, рачунајући од дана објављивања позива за ову јавну набавку, извршио радове из предмета ове јавне набавке, односно извршио изградњу фекалне канализационе мреже и црпних станица вредности од 150 милиона динара и да је извршио изградњу 4 црпне станице.</w:t>
      </w:r>
      <w:r w:rsidRPr="00E76AE8">
        <w:rPr>
          <w:rFonts w:ascii="Times New Roman" w:eastAsia="Times New Roman" w:hAnsi="Times New Roman" w:cs="Times New Roman"/>
          <w:sz w:val="24"/>
          <w:szCs w:val="24"/>
          <w:lang w:eastAsia="sr-Cyrl-RS"/>
        </w:rPr>
        <w:br/>
        <w:t xml:space="preserve">Доказ : Попуњен, потписан и оверен образац Стручне референце уз који је потребно приложити потврде наведених референтних наручилаца. Списак најзначајнијих купаца односно наручилаца (референц листа) за које је извршио радове из предмета јавне набавке са коначним износом рачуна. Попунити Образац стручних референци, одн. листу саставити на основу потврда референци из конкурсне документације, које морају морају бити оверене печатом и потписане од стране овлашћеног лица понуђача и наручиоца односно купца. (Образац 7.и 8 у поглављу VI ове конкурсне документације ) (Референтним наручиоцем се сматрају правна лица на чијим објектима је понуђач реализовао референтне уговоре (крајњи корисник) и са којим понуђач има директан уговорени однос). Уз обрасце обавезно је достављање Уговора и свих Анекса уговора (уколико их има) и окончане ситуације по достављеним уговорима ( и Анексима уговора). За доказивање радова на изградњи црпних станица доставити уговоре и окончане ситуације из којих ће се видети да је у оквиру радова на изградњи фекалне канализације извршена и изградња црпних станица ( потребно је доказ доставити за најмање 4 црпне станице). Уколико се у уговорима за референце (или у окончаним ситуацијама) које понуђач достави за номиналну вредност референце јасно види да је у оквиру тих радова вршена изградња и фекалне црпне станице подвући то у уговору и </w:t>
      </w:r>
      <w:r w:rsidRPr="00E76AE8">
        <w:rPr>
          <w:rFonts w:ascii="Times New Roman" w:eastAsia="Times New Roman" w:hAnsi="Times New Roman" w:cs="Times New Roman"/>
          <w:sz w:val="24"/>
          <w:szCs w:val="24"/>
          <w:lang w:eastAsia="sr-Cyrl-RS"/>
        </w:rPr>
        <w:lastRenderedPageBreak/>
        <w:t>на меморандуму понуђача навести у оквиру којих уговора је вршена изградња црпних станица.</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 </w:t>
      </w:r>
    </w:p>
    <w:p w:rsidR="00E76AE8" w:rsidRDefault="00E76AE8" w:rsidP="00E76AE8">
      <w:pPr>
        <w:spacing w:after="0" w:line="253" w:lineRule="atLeast"/>
        <w:jc w:val="both"/>
        <w:rPr>
          <w:rFonts w:ascii="Times New Roman" w:eastAsia="Times New Roman" w:hAnsi="Times New Roman" w:cs="Times New Roman"/>
          <w:sz w:val="24"/>
          <w:szCs w:val="24"/>
          <w:lang w:val="en-US" w:eastAsia="sr-Cyrl-RS"/>
        </w:rPr>
      </w:pPr>
      <w:r w:rsidRPr="00E76AE8">
        <w:rPr>
          <w:rFonts w:ascii="Times New Roman" w:eastAsia="Times New Roman" w:hAnsi="Times New Roman" w:cs="Times New Roman"/>
          <w:sz w:val="24"/>
          <w:szCs w:val="24"/>
          <w:lang w:eastAsia="sr-Cyrl-RS"/>
        </w:rPr>
        <w:t>Питање</w:t>
      </w:r>
      <w:r>
        <w:rPr>
          <w:rFonts w:ascii="Times New Roman" w:eastAsia="Times New Roman" w:hAnsi="Times New Roman" w:cs="Times New Roman"/>
          <w:sz w:val="24"/>
          <w:szCs w:val="24"/>
          <w:lang w:eastAsia="sr-Cyrl-RS"/>
        </w:rPr>
        <w:t xml:space="preserve"> 30</w:t>
      </w:r>
      <w:r w:rsidRPr="00E76AE8">
        <w:rPr>
          <w:rFonts w:ascii="Times New Roman" w:eastAsia="Times New Roman" w:hAnsi="Times New Roman" w:cs="Times New Roman"/>
          <w:sz w:val="24"/>
          <w:szCs w:val="24"/>
          <w:lang w:eastAsia="sr-Cyrl-RS"/>
        </w:rPr>
        <w:t>:</w:t>
      </w:r>
    </w:p>
    <w:p w:rsidR="00BC168C" w:rsidRPr="00BC168C" w:rsidRDefault="00BC168C" w:rsidP="00E76AE8">
      <w:pPr>
        <w:spacing w:after="0" w:line="253" w:lineRule="atLeast"/>
        <w:jc w:val="both"/>
        <w:rPr>
          <w:rFonts w:ascii="Times New Roman" w:eastAsia="Times New Roman" w:hAnsi="Times New Roman" w:cs="Times New Roman"/>
          <w:sz w:val="24"/>
          <w:szCs w:val="24"/>
          <w:lang w:val="en-US" w:eastAsia="sr-Cyrl-RS"/>
        </w:rPr>
      </w:pP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 xml:space="preserve"> Шта Наручилац сматра под наводима "(Референтним наручиоцем се сматрају правна лица на чијим објектима је понуђач реализовао референтне уговоре (крајњи корисник) и са којим понуђач има директан уговорени однос)"?</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Који су то референтни Наручиоци?</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Да ли под референтним Наручиоцима спадају и друга правна лица осим републичких и локалних односно правна лица која нису само основана од стране републике, градске управе или локалне самоуправе?</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Сматрамо да било који Наручилац тј. правно лице може бити Наручилац било ког посла и да не постоји термин референтни Наручилац те са тим у вези исти треба обрисати из конкурсне документације.</w:t>
      </w: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p>
    <w:p w:rsidR="00E76AE8" w:rsidRPr="00E76AE8" w:rsidRDefault="00E76AE8" w:rsidP="00E76AE8">
      <w:pPr>
        <w:spacing w:after="0" w:line="253" w:lineRule="atLeast"/>
        <w:jc w:val="both"/>
        <w:rPr>
          <w:rFonts w:ascii="Times New Roman" w:eastAsia="Times New Roman" w:hAnsi="Times New Roman" w:cs="Times New Roman"/>
          <w:sz w:val="24"/>
          <w:szCs w:val="24"/>
          <w:lang w:eastAsia="sr-Cyrl-RS"/>
        </w:rPr>
      </w:pPr>
      <w:r w:rsidRPr="00E76AE8">
        <w:rPr>
          <w:rFonts w:ascii="Times New Roman" w:eastAsia="Times New Roman" w:hAnsi="Times New Roman" w:cs="Times New Roman"/>
          <w:sz w:val="24"/>
          <w:szCs w:val="24"/>
          <w:lang w:eastAsia="sr-Cyrl-RS"/>
        </w:rPr>
        <w:t>Молимо Наручиоца да продужи рок за доставу понуда јер мењање конкурсне документације изискује ново време за припрему исте....наравно и Законска регулатива предвиђа исто.</w:t>
      </w:r>
    </w:p>
    <w:p w:rsidR="00A57A0F" w:rsidRDefault="00A57A0F"/>
    <w:p w:rsidR="00E76AE8" w:rsidRDefault="00E76AE8" w:rsidP="00E76AE8">
      <w:pPr>
        <w:jc w:val="both"/>
      </w:pPr>
      <w:r>
        <w:t xml:space="preserve">Одговор : Референтни наручилац значи да је то </w:t>
      </w:r>
      <w:r w:rsidR="00433285">
        <w:t xml:space="preserve">јавно </w:t>
      </w:r>
      <w:r>
        <w:t>предузеће</w:t>
      </w:r>
      <w:r w:rsidR="00433285">
        <w:t>/установа/орган  локалне самоуправе/покрајине или Републички орган</w:t>
      </w:r>
      <w:r>
        <w:t xml:space="preserve"> са којим је понуђач имао уговор о извођењу радова који су предмет набавке и у ком је понуђач био извођач радова а не подизвођач или у неком другом уговорном односу са </w:t>
      </w:r>
      <w:r w:rsidR="00433285">
        <w:t>наручиоцем који даје референце.</w:t>
      </w:r>
    </w:p>
    <w:p w:rsidR="00433285" w:rsidRDefault="00433285" w:rsidP="00E76AE8">
      <w:pPr>
        <w:jc w:val="both"/>
      </w:pPr>
      <w:r>
        <w:t>Под референтним наручиоцем се сматрају правна лица чији је оснивач локални, покрајински или Републички орган, односно локална самоуправа, аутономна покрајина или Република односно Републички органи. У складу са предметом јавне набавке , Наручиоцу није познато да наручилац може да буде предузеће чији оснивач није Републички, покрајински или орган локалне самоуправе</w:t>
      </w:r>
      <w:r w:rsidR="00BC168C">
        <w:t xml:space="preserve">, а да врши изградњу инфрастуктурних објеката као што је фекална канализација у једном граду. </w:t>
      </w:r>
    </w:p>
    <w:p w:rsidR="00BC168C" w:rsidRDefault="00BC168C" w:rsidP="00E76AE8">
      <w:pPr>
        <w:jc w:val="both"/>
      </w:pPr>
      <w:r>
        <w:t xml:space="preserve">Нас као наручиоце чуди да баш вама као понуђачу који постављате ова питања, није јасно шта значи наведени појмови, када су вам савршено били јасни када сте учествовали и давали своје понуде на другим јавним набавкама које смо ми, као наручиоци, објављивали. И тада су тражене референце на исти начин као и у овој набавци, али тада сте разумели шта су референце и нисте постављали оваква питања. </w:t>
      </w:r>
      <w:bookmarkStart w:id="0" w:name="_GoBack"/>
      <w:bookmarkEnd w:id="0"/>
    </w:p>
    <w:p w:rsidR="00E76AE8" w:rsidRDefault="00E76AE8" w:rsidP="00E76AE8">
      <w:pPr>
        <w:jc w:val="both"/>
      </w:pPr>
    </w:p>
    <w:p w:rsidR="00E76AE8" w:rsidRDefault="00E76AE8" w:rsidP="00E76AE8">
      <w:pPr>
        <w:jc w:val="both"/>
      </w:pPr>
      <w:r>
        <w:t>Наручилац неће продужавати рок за подношење понуда јер се услови нису променили на начин да понуђачима отежавају припрему понуде, већ потпуно супротно -олакшавају припрему понуда и омогућавају најширу могућу конкуренцију. Конкурсна документација је измењена у законском року односно више од 8 дана од рока за достављање понуда и наручилац није у обавези да продужава рок у складу са чланом 63. став 5. Закона о јавним набавкама.</w:t>
      </w:r>
    </w:p>
    <w:sectPr w:rsidR="00E76A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AE8"/>
    <w:rsid w:val="00433285"/>
    <w:rsid w:val="00A57A0F"/>
    <w:rsid w:val="00BC168C"/>
    <w:rsid w:val="00E76AE8"/>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573687">
      <w:bodyDiv w:val="1"/>
      <w:marLeft w:val="0"/>
      <w:marRight w:val="0"/>
      <w:marTop w:val="0"/>
      <w:marBottom w:val="0"/>
      <w:divBdr>
        <w:top w:val="none" w:sz="0" w:space="0" w:color="auto"/>
        <w:left w:val="none" w:sz="0" w:space="0" w:color="auto"/>
        <w:bottom w:val="none" w:sz="0" w:space="0" w:color="auto"/>
        <w:right w:val="none" w:sz="0" w:space="0" w:color="auto"/>
      </w:divBdr>
      <w:divsChild>
        <w:div w:id="2558341">
          <w:marLeft w:val="0"/>
          <w:marRight w:val="0"/>
          <w:marTop w:val="0"/>
          <w:marBottom w:val="0"/>
          <w:divBdr>
            <w:top w:val="none" w:sz="0" w:space="0" w:color="auto"/>
            <w:left w:val="none" w:sz="0" w:space="0" w:color="auto"/>
            <w:bottom w:val="none" w:sz="0" w:space="0" w:color="auto"/>
            <w:right w:val="none" w:sz="0" w:space="0" w:color="auto"/>
          </w:divBdr>
          <w:divsChild>
            <w:div w:id="1226800730">
              <w:marLeft w:val="0"/>
              <w:marRight w:val="0"/>
              <w:marTop w:val="120"/>
              <w:marBottom w:val="0"/>
              <w:divBdr>
                <w:top w:val="none" w:sz="0" w:space="0" w:color="auto"/>
                <w:left w:val="none" w:sz="0" w:space="0" w:color="auto"/>
                <w:bottom w:val="none" w:sz="0" w:space="0" w:color="auto"/>
                <w:right w:val="none" w:sz="0" w:space="0" w:color="auto"/>
              </w:divBdr>
              <w:divsChild>
                <w:div w:id="195390193">
                  <w:marLeft w:val="0"/>
                  <w:marRight w:val="0"/>
                  <w:marTop w:val="0"/>
                  <w:marBottom w:val="0"/>
                  <w:divBdr>
                    <w:top w:val="none" w:sz="0" w:space="0" w:color="auto"/>
                    <w:left w:val="none" w:sz="0" w:space="0" w:color="auto"/>
                    <w:bottom w:val="none" w:sz="0" w:space="0" w:color="auto"/>
                    <w:right w:val="none" w:sz="0" w:space="0" w:color="auto"/>
                  </w:divBdr>
                  <w:divsChild>
                    <w:div w:id="1378432050">
                      <w:marLeft w:val="0"/>
                      <w:marRight w:val="0"/>
                      <w:marTop w:val="0"/>
                      <w:marBottom w:val="0"/>
                      <w:divBdr>
                        <w:top w:val="none" w:sz="0" w:space="0" w:color="auto"/>
                        <w:left w:val="none" w:sz="0" w:space="0" w:color="auto"/>
                        <w:bottom w:val="none" w:sz="0" w:space="0" w:color="auto"/>
                        <w:right w:val="none" w:sz="0" w:space="0" w:color="auto"/>
                      </w:divBdr>
                      <w:divsChild>
                        <w:div w:id="212037982">
                          <w:marLeft w:val="0"/>
                          <w:marRight w:val="0"/>
                          <w:marTop w:val="0"/>
                          <w:marBottom w:val="0"/>
                          <w:divBdr>
                            <w:top w:val="none" w:sz="0" w:space="0" w:color="auto"/>
                            <w:left w:val="none" w:sz="0" w:space="0" w:color="auto"/>
                            <w:bottom w:val="none" w:sz="0" w:space="0" w:color="auto"/>
                            <w:right w:val="none" w:sz="0" w:space="0" w:color="auto"/>
                          </w:divBdr>
                        </w:div>
                      </w:divsChild>
                    </w:div>
                    <w:div w:id="137966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14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Paragraf Lex</dc:creator>
  <cp:lastModifiedBy>Paragraf Lex</cp:lastModifiedBy>
  <cp:revision>1</cp:revision>
  <dcterms:created xsi:type="dcterms:W3CDTF">2020-06-03T11:04:00Z</dcterms:created>
  <dcterms:modified xsi:type="dcterms:W3CDTF">2020-06-03T12:26:00Z</dcterms:modified>
</cp:coreProperties>
</file>